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ED1714">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PROCESSO LICITATÓRIO N.º  </w:t>
      </w:r>
      <w:r w:rsidR="000C042F">
        <w:rPr>
          <w:bCs/>
          <w:sz w:val="24"/>
          <w:szCs w:val="24"/>
          <w:u w:val="single"/>
        </w:rPr>
        <w:t>137</w:t>
      </w:r>
      <w:r w:rsidR="0004010A">
        <w:rPr>
          <w:bCs/>
          <w:sz w:val="24"/>
          <w:szCs w:val="24"/>
          <w:u w:val="single"/>
        </w:rPr>
        <w:t>/2018</w:t>
      </w:r>
    </w:p>
    <w:p w:rsidR="00301EC9" w:rsidRDefault="00301EC9" w:rsidP="00ED1714">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PREGÃO PRESENCIAL N.º </w:t>
      </w:r>
      <w:r w:rsidR="000C042F">
        <w:rPr>
          <w:bCs/>
          <w:sz w:val="24"/>
          <w:szCs w:val="24"/>
          <w:u w:val="single"/>
        </w:rPr>
        <w:t>52</w:t>
      </w:r>
      <w:r w:rsidR="0004010A">
        <w:rPr>
          <w:bCs/>
          <w:sz w:val="24"/>
          <w:szCs w:val="24"/>
          <w:u w:val="single"/>
        </w:rPr>
        <w:t>/2018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0C042F">
        <w:rPr>
          <w:rFonts w:ascii="Arial" w:hAnsi="Arial" w:cs="Arial"/>
          <w:sz w:val="24"/>
          <w:szCs w:val="24"/>
        </w:rPr>
        <w:t xml:space="preserve">117/2018 </w:t>
      </w:r>
      <w:r>
        <w:rPr>
          <w:rFonts w:ascii="Arial" w:hAnsi="Arial" w:cs="Arial"/>
          <w:sz w:val="24"/>
          <w:szCs w:val="24"/>
        </w:rPr>
        <w:t xml:space="preserve"> de </w:t>
      </w:r>
      <w:r w:rsidR="000C042F">
        <w:rPr>
          <w:rFonts w:ascii="Arial" w:hAnsi="Arial" w:cs="Arial"/>
          <w:sz w:val="24"/>
          <w:szCs w:val="24"/>
        </w:rPr>
        <w:t>maio</w:t>
      </w:r>
      <w:r>
        <w:rPr>
          <w:rFonts w:ascii="Arial" w:hAnsi="Arial" w:cs="Arial"/>
          <w:sz w:val="24"/>
          <w:szCs w:val="24"/>
        </w:rPr>
        <w:t xml:space="preserve"> de 201</w:t>
      </w:r>
      <w:r w:rsidR="000C042F">
        <w:rPr>
          <w:rFonts w:ascii="Arial" w:hAnsi="Arial" w:cs="Arial"/>
          <w:sz w:val="24"/>
          <w:szCs w:val="24"/>
        </w:rPr>
        <w:t>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156DC2">
        <w:rPr>
          <w:rFonts w:ascii="Arial" w:hAnsi="Arial" w:cs="Arial"/>
          <w:sz w:val="24"/>
          <w:szCs w:val="24"/>
        </w:rPr>
        <w:t>03</w:t>
      </w:r>
      <w:r>
        <w:rPr>
          <w:rFonts w:ascii="Arial" w:hAnsi="Arial" w:cs="Arial"/>
          <w:sz w:val="24"/>
          <w:szCs w:val="24"/>
        </w:rPr>
        <w:t xml:space="preserve"> de </w:t>
      </w:r>
      <w:r w:rsidR="00156DC2">
        <w:rPr>
          <w:rFonts w:ascii="Arial" w:hAnsi="Arial" w:cs="Arial"/>
          <w:sz w:val="24"/>
          <w:szCs w:val="24"/>
        </w:rPr>
        <w:t>julho</w:t>
      </w:r>
      <w:r w:rsidR="0004010A">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BF05EA" w:rsidRPr="00BF05EA">
        <w:rPr>
          <w:rFonts w:ascii="Arial" w:hAnsi="Arial" w:cs="Arial"/>
          <w:sz w:val="24"/>
          <w:szCs w:val="24"/>
        </w:rPr>
        <w:t>A</w:t>
      </w:r>
      <w:r w:rsidR="00BF05EA" w:rsidRPr="00BF05EA">
        <w:rPr>
          <w:rFonts w:ascii="Arial" w:hAnsi="Arial" w:cs="Arial"/>
          <w:bCs/>
          <w:sz w:val="24"/>
          <w:szCs w:val="24"/>
        </w:rPr>
        <w:t xml:space="preserve"> AQUISIÇÃO DE MOBILIÁRIO, PARA EQUIPAR O </w:t>
      </w:r>
      <w:r w:rsidR="00BF05EA" w:rsidRPr="00BF05EA">
        <w:rPr>
          <w:rFonts w:ascii="Arial" w:eastAsia="Batang" w:hAnsi="Arial" w:cs="Arial"/>
          <w:sz w:val="24"/>
          <w:szCs w:val="24"/>
        </w:rPr>
        <w:t xml:space="preserve">ESPAÇO MAIS CULTURA ALAOR VICENTE DE SOUZA, CONFORME </w:t>
      </w:r>
      <w:r w:rsidR="00BF05EA" w:rsidRPr="00BF05EA">
        <w:rPr>
          <w:rFonts w:ascii="Arial" w:eastAsia="Batang" w:hAnsi="Arial" w:cs="Arial"/>
          <w:bCs/>
          <w:sz w:val="24"/>
          <w:szCs w:val="24"/>
        </w:rPr>
        <w:t>CONVÊNIO Nº 753859/2010, CELEBRADO ENTRE O MUNICÍPIO DE PAINS E O MINISTÉRIO DA CULTURA – MINC</w:t>
      </w:r>
      <w:r w:rsidR="00BF05EA">
        <w:rPr>
          <w:rFonts w:ascii="Arial" w:eastAsia="Batang" w:hAnsi="Arial" w:cs="Arial"/>
          <w:bCs/>
          <w:sz w:val="24"/>
          <w:szCs w:val="24"/>
        </w:rPr>
        <w:t>.</w:t>
      </w:r>
      <w:r w:rsidR="00BF05EA" w:rsidRPr="00BF05EA">
        <w:rPr>
          <w:rFonts w:ascii="Arial" w:hAnsi="Arial" w:cs="Arial"/>
          <w:b/>
          <w:bC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2.2-</w:t>
      </w:r>
      <w:r>
        <w:rPr>
          <w:rFonts w:ascii="Arial" w:hAnsi="Arial" w:cs="Arial"/>
          <w:sz w:val="24"/>
          <w:szCs w:val="24"/>
        </w:rPr>
        <w:t xml:space="preserve"> As licitantes deverão apresentar no dia </w:t>
      </w:r>
      <w:r w:rsidR="00BF05EA">
        <w:rPr>
          <w:rFonts w:ascii="Arial" w:hAnsi="Arial" w:cs="Arial"/>
          <w:sz w:val="24"/>
          <w:szCs w:val="24"/>
        </w:rPr>
        <w:t>03</w:t>
      </w:r>
      <w:r w:rsidR="0004010A">
        <w:rPr>
          <w:rFonts w:ascii="Arial" w:hAnsi="Arial" w:cs="Arial"/>
          <w:sz w:val="24"/>
          <w:szCs w:val="24"/>
        </w:rPr>
        <w:t xml:space="preserve"> de </w:t>
      </w:r>
      <w:r w:rsidR="00BF05EA">
        <w:rPr>
          <w:rFonts w:ascii="Arial" w:hAnsi="Arial" w:cs="Arial"/>
          <w:sz w:val="24"/>
          <w:szCs w:val="24"/>
        </w:rPr>
        <w:t>julho</w:t>
      </w:r>
      <w:r w:rsidR="0004010A">
        <w:rPr>
          <w:rFonts w:ascii="Arial" w:hAnsi="Arial" w:cs="Arial"/>
          <w:sz w:val="24"/>
          <w:szCs w:val="24"/>
        </w:rPr>
        <w:t xml:space="preserve"> de 2018</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DB7681"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BF05EA">
                                <w:rPr>
                                  <w:rFonts w:ascii="Arial" w:hAnsi="Arial" w:cs="Arial"/>
                                  <w:b/>
                                  <w:sz w:val="24"/>
                                  <w:szCs w:val="24"/>
                                </w:rPr>
                                <w:t>137</w:t>
                              </w:r>
                              <w:r w:rsidR="0004010A">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F05EA">
                                <w:rPr>
                                  <w:rFonts w:ascii="Arial" w:hAnsi="Arial" w:cs="Arial"/>
                                  <w:b/>
                                  <w:sz w:val="24"/>
                                  <w:szCs w:val="24"/>
                                </w:rPr>
                                <w:t>52</w:t>
                              </w:r>
                              <w:r w:rsidR="0004010A">
                                <w:rPr>
                                  <w:rFonts w:ascii="Arial" w:hAnsi="Arial" w:cs="Arial"/>
                                  <w:b/>
                                  <w:sz w:val="24"/>
                                  <w:szCs w:val="24"/>
                                </w:rPr>
                                <w:t>/2018</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BF05EA">
                                <w:rPr>
                                  <w:rFonts w:ascii="Arial" w:hAnsi="Arial" w:cs="Arial"/>
                                  <w:b/>
                                  <w:sz w:val="24"/>
                                  <w:szCs w:val="24"/>
                                </w:rPr>
                                <w:t>137</w:t>
                              </w:r>
                              <w:r w:rsidR="0004010A">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F05EA">
                                <w:rPr>
                                  <w:rFonts w:ascii="Arial" w:hAnsi="Arial" w:cs="Arial"/>
                                  <w:b/>
                                  <w:sz w:val="24"/>
                                  <w:szCs w:val="24"/>
                                </w:rPr>
                                <w:t>52</w:t>
                              </w:r>
                              <w:r w:rsidR="0004010A">
                                <w:rPr>
                                  <w:rFonts w:ascii="Arial" w:hAnsi="Arial" w:cs="Arial"/>
                                  <w:b/>
                                  <w:sz w:val="24"/>
                                  <w:szCs w:val="24"/>
                                </w:rPr>
                                <w:t>/2018</w:t>
                              </w:r>
                            </w:p>
                            <w:p w:rsidR="00301EC9" w:rsidRDefault="00301EC9" w:rsidP="00BF05EA">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lastRenderedPageBreak/>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ce</w:t>
      </w:r>
      <w:r w:rsidR="00384A85">
        <w:rPr>
          <w:rFonts w:ascii="Arial" w:hAnsi="Arial" w:cs="Arial"/>
          <w:sz w:val="24"/>
          <w:szCs w:val="24"/>
        </w:rPr>
        <w:t xml:space="preserve">rtame, em nome do proponente </w:t>
      </w:r>
      <w:r>
        <w:rPr>
          <w:rFonts w:ascii="Arial" w:hAnsi="Arial" w:cs="Arial"/>
          <w:sz w:val="24"/>
          <w:szCs w:val="24"/>
        </w:rPr>
        <w:t xml:space="preserve">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r w:rsidR="00293560">
        <w:rPr>
          <w:rFonts w:ascii="Arial" w:hAnsi="Arial" w:cs="Arial"/>
          <w:sz w:val="24"/>
          <w:szCs w:val="24"/>
        </w:rPr>
        <w:t xml:space="preserve"> A ordem de fornecimento somente será emitida após término da obra do</w:t>
      </w:r>
      <w:r w:rsidR="00384A85">
        <w:rPr>
          <w:rFonts w:ascii="Arial" w:hAnsi="Arial" w:cs="Arial"/>
          <w:sz w:val="24"/>
          <w:szCs w:val="24"/>
        </w:rPr>
        <w:t xml:space="preserve"> Espaço</w:t>
      </w:r>
      <w:r w:rsidR="00293560">
        <w:rPr>
          <w:rFonts w:ascii="Arial" w:hAnsi="Arial" w:cs="Arial"/>
          <w:sz w:val="24"/>
          <w:szCs w:val="24"/>
        </w:rPr>
        <w:t xml:space="preserve"> Mais Cultura que se encontra em fase de acabamento.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lastRenderedPageBreak/>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xml:space="preserve">- Sendo aceitável a oferta, será verificado o atendimento das condições habilitátorias pela licitante que tiver formulado, com base na documentação </w:t>
      </w:r>
      <w:r>
        <w:rPr>
          <w:rFonts w:ascii="Arial" w:hAnsi="Arial" w:cs="Arial"/>
          <w:sz w:val="24"/>
          <w:szCs w:val="24"/>
        </w:rPr>
        <w:lastRenderedPageBreak/>
        <w:t>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lastRenderedPageBreak/>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D6833"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02.02.01.04.122.0003.1004.4.4.90.52.00/76</w:t>
      </w:r>
    </w:p>
    <w:p w:rsidR="0059052B" w:rsidRDefault="005D6833"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02.05.01.10.301.0008.1022.4.4.90.52.00/397</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Pains, que somente atestará a entrega das mercadorias e liberará a referida Nota Fiscal </w:t>
      </w:r>
      <w:r>
        <w:rPr>
          <w:rFonts w:ascii="Arial" w:hAnsi="Arial" w:cs="Arial"/>
          <w:sz w:val="24"/>
        </w:rPr>
        <w:lastRenderedPageBreak/>
        <w:t>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6B2972">
        <w:rPr>
          <w:rFonts w:ascii="Arial" w:hAnsi="Arial" w:cs="Arial"/>
          <w:bCs/>
          <w:sz w:val="24"/>
          <w:szCs w:val="24"/>
        </w:rPr>
        <w:t>Minuta de Contrato</w:t>
      </w:r>
    </w:p>
    <w:p w:rsidR="00301EC9"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301EC9">
      <w:pPr>
        <w:pStyle w:val="Corpodetexto"/>
        <w:jc w:val="right"/>
        <w:rPr>
          <w:rFonts w:ascii="Arial" w:hAnsi="Arial" w:cs="Arial"/>
          <w:b w:val="0"/>
          <w:sz w:val="10"/>
          <w:szCs w:val="10"/>
        </w:rPr>
      </w:pPr>
    </w:p>
    <w:p w:rsidR="00301EC9" w:rsidRDefault="00301EC9" w:rsidP="00CF2ACD">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CF2ACD">
        <w:rPr>
          <w:rFonts w:ascii="Arial" w:hAnsi="Arial" w:cs="Arial"/>
          <w:b w:val="0"/>
          <w:sz w:val="24"/>
          <w:szCs w:val="24"/>
        </w:rPr>
        <w:t>15 de maio</w:t>
      </w:r>
      <w:r w:rsidR="00734FFD">
        <w:rPr>
          <w:rFonts w:ascii="Arial" w:hAnsi="Arial" w:cs="Arial"/>
          <w:b w:val="0"/>
          <w:sz w:val="24"/>
          <w:szCs w:val="24"/>
        </w:rPr>
        <w:t xml:space="preserve">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403E80" w:rsidRDefault="00301EC9" w:rsidP="00C813E0">
      <w:pPr>
        <w:jc w:val="center"/>
      </w:pPr>
      <w:r>
        <w:rPr>
          <w:rFonts w:ascii="Arial" w:hAnsi="Arial" w:cs="Arial"/>
          <w:bCs/>
          <w:sz w:val="24"/>
          <w:szCs w:val="24"/>
        </w:rPr>
        <w:t>Pregoeira</w:t>
      </w:r>
    </w:p>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4F5" w:rsidRDefault="004C74F5" w:rsidP="00614201">
      <w:pPr>
        <w:spacing w:after="0" w:line="240" w:lineRule="auto"/>
      </w:pPr>
      <w:r>
        <w:separator/>
      </w:r>
    </w:p>
  </w:endnote>
  <w:endnote w:type="continuationSeparator" w:id="1">
    <w:p w:rsidR="004C74F5" w:rsidRDefault="004C74F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4F5" w:rsidRDefault="004C74F5" w:rsidP="00614201">
      <w:pPr>
        <w:spacing w:after="0" w:line="240" w:lineRule="auto"/>
      </w:pPr>
      <w:r>
        <w:separator/>
      </w:r>
    </w:p>
  </w:footnote>
  <w:footnote w:type="continuationSeparator" w:id="1">
    <w:p w:rsidR="004C74F5" w:rsidRDefault="004C74F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614201"/>
    <w:rsid w:val="0004010A"/>
    <w:rsid w:val="000C042F"/>
    <w:rsid w:val="001272E0"/>
    <w:rsid w:val="00156DC2"/>
    <w:rsid w:val="00157BFB"/>
    <w:rsid w:val="002339F7"/>
    <w:rsid w:val="00293560"/>
    <w:rsid w:val="002A3D98"/>
    <w:rsid w:val="002C355D"/>
    <w:rsid w:val="00301EC9"/>
    <w:rsid w:val="00384A85"/>
    <w:rsid w:val="00403E80"/>
    <w:rsid w:val="00430F4F"/>
    <w:rsid w:val="00443A75"/>
    <w:rsid w:val="004A4AA4"/>
    <w:rsid w:val="004C74F5"/>
    <w:rsid w:val="004D3E29"/>
    <w:rsid w:val="0059052B"/>
    <w:rsid w:val="005C5F6C"/>
    <w:rsid w:val="005D6833"/>
    <w:rsid w:val="00614201"/>
    <w:rsid w:val="00615F8B"/>
    <w:rsid w:val="00637230"/>
    <w:rsid w:val="00693CC1"/>
    <w:rsid w:val="006B2972"/>
    <w:rsid w:val="006D4E8D"/>
    <w:rsid w:val="00723993"/>
    <w:rsid w:val="00734FFD"/>
    <w:rsid w:val="007C490B"/>
    <w:rsid w:val="008C5557"/>
    <w:rsid w:val="009013D5"/>
    <w:rsid w:val="00917A9B"/>
    <w:rsid w:val="009832B3"/>
    <w:rsid w:val="00B64B1C"/>
    <w:rsid w:val="00B77434"/>
    <w:rsid w:val="00BC67DB"/>
    <w:rsid w:val="00BD4653"/>
    <w:rsid w:val="00BF05EA"/>
    <w:rsid w:val="00C813E0"/>
    <w:rsid w:val="00C94D47"/>
    <w:rsid w:val="00CF2ACD"/>
    <w:rsid w:val="00DB7681"/>
    <w:rsid w:val="00ED1714"/>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12</Pages>
  <Words>3995</Words>
  <Characters>21578</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30</cp:revision>
  <cp:lastPrinted>2017-01-03T10:59:00Z</cp:lastPrinted>
  <dcterms:created xsi:type="dcterms:W3CDTF">2017-01-03T10:53:00Z</dcterms:created>
  <dcterms:modified xsi:type="dcterms:W3CDTF">2018-06-28T18:07:00Z</dcterms:modified>
</cp:coreProperties>
</file>